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63350" w14:textId="4DBEDFB9" w:rsidR="00DD6AE7" w:rsidRPr="00DD6AE7" w:rsidRDefault="007147FE" w:rsidP="00DD6AE7">
      <w:pPr>
        <w:spacing w:line="480" w:lineRule="auto"/>
        <w:jc w:val="center"/>
        <w:rPr>
          <w:rFonts w:ascii="Times New Roman" w:hAnsi="Times New Roman" w:cs="Times New Roman"/>
          <w:b/>
          <w:bCs/>
          <w:sz w:val="24"/>
          <w:szCs w:val="24"/>
        </w:rPr>
      </w:pPr>
      <w:r w:rsidRPr="00DD6AE7">
        <w:rPr>
          <w:rFonts w:ascii="Times New Roman" w:hAnsi="Times New Roman" w:cs="Times New Roman"/>
          <w:b/>
          <w:bCs/>
          <w:sz w:val="24"/>
          <w:szCs w:val="24"/>
        </w:rPr>
        <w:t>Limitation of the research article</w:t>
      </w:r>
    </w:p>
    <w:p w14:paraId="5099DF45" w14:textId="77777777" w:rsidR="00DD6AE7" w:rsidRPr="00DD6AE7" w:rsidRDefault="00DD6AE7" w:rsidP="00DD6AE7">
      <w:pPr>
        <w:spacing w:line="480" w:lineRule="auto"/>
        <w:rPr>
          <w:rFonts w:ascii="Times New Roman" w:hAnsi="Times New Roman" w:cs="Times New Roman"/>
          <w:b/>
          <w:bCs/>
          <w:sz w:val="24"/>
          <w:szCs w:val="24"/>
        </w:rPr>
      </w:pPr>
    </w:p>
    <w:p w14:paraId="283D50CC" w14:textId="77777777" w:rsidR="00DD6AE7" w:rsidRPr="00DD6AE7" w:rsidRDefault="00DD6AE7" w:rsidP="00DD6AE7">
      <w:pPr>
        <w:spacing w:line="480" w:lineRule="auto"/>
        <w:jc w:val="center"/>
        <w:rPr>
          <w:rFonts w:ascii="Times New Roman" w:hAnsi="Times New Roman" w:cs="Times New Roman"/>
          <w:b/>
          <w:bCs/>
          <w:sz w:val="24"/>
          <w:szCs w:val="24"/>
        </w:rPr>
      </w:pPr>
    </w:p>
    <w:p w14:paraId="776BF230" w14:textId="77777777" w:rsidR="00DD6AE7" w:rsidRPr="00DD6AE7" w:rsidRDefault="00DD6AE7" w:rsidP="00DD6AE7">
      <w:pPr>
        <w:spacing w:line="480" w:lineRule="auto"/>
        <w:jc w:val="center"/>
        <w:rPr>
          <w:rFonts w:ascii="Times New Roman" w:hAnsi="Times New Roman" w:cs="Times New Roman"/>
          <w:b/>
          <w:bCs/>
          <w:sz w:val="24"/>
          <w:szCs w:val="24"/>
        </w:rPr>
      </w:pPr>
    </w:p>
    <w:p w14:paraId="6D31249E" w14:textId="77777777" w:rsidR="00DD6AE7" w:rsidRPr="00DD6AE7" w:rsidRDefault="007147FE" w:rsidP="00DD6AE7">
      <w:pPr>
        <w:spacing w:after="0" w:line="480" w:lineRule="auto"/>
        <w:jc w:val="center"/>
        <w:rPr>
          <w:rFonts w:ascii="Times New Roman" w:hAnsi="Times New Roman" w:cs="Times New Roman"/>
          <w:sz w:val="24"/>
          <w:szCs w:val="24"/>
        </w:rPr>
      </w:pPr>
      <w:r w:rsidRPr="00DD6AE7">
        <w:rPr>
          <w:rFonts w:ascii="Times New Roman" w:hAnsi="Times New Roman" w:cs="Times New Roman"/>
          <w:sz w:val="24"/>
          <w:szCs w:val="24"/>
        </w:rPr>
        <w:t>Name</w:t>
      </w:r>
    </w:p>
    <w:p w14:paraId="1156BA09" w14:textId="77777777" w:rsidR="00DD6AE7" w:rsidRPr="00DD6AE7" w:rsidRDefault="007147FE" w:rsidP="00DD6AE7">
      <w:pPr>
        <w:spacing w:after="0" w:line="480" w:lineRule="auto"/>
        <w:jc w:val="center"/>
        <w:rPr>
          <w:rFonts w:ascii="Times New Roman" w:hAnsi="Times New Roman" w:cs="Times New Roman"/>
          <w:sz w:val="24"/>
          <w:szCs w:val="24"/>
        </w:rPr>
      </w:pPr>
      <w:r w:rsidRPr="00DD6AE7">
        <w:rPr>
          <w:rFonts w:ascii="Times New Roman" w:hAnsi="Times New Roman" w:cs="Times New Roman"/>
          <w:sz w:val="24"/>
          <w:szCs w:val="24"/>
        </w:rPr>
        <w:t>Institution</w:t>
      </w:r>
    </w:p>
    <w:p w14:paraId="472BAFD4" w14:textId="77777777" w:rsidR="00DD6AE7" w:rsidRPr="00DD6AE7" w:rsidRDefault="007147FE" w:rsidP="00DD6AE7">
      <w:pPr>
        <w:spacing w:after="0" w:line="480" w:lineRule="auto"/>
        <w:jc w:val="center"/>
        <w:rPr>
          <w:rFonts w:ascii="Times New Roman" w:hAnsi="Times New Roman" w:cs="Times New Roman"/>
          <w:sz w:val="24"/>
          <w:szCs w:val="24"/>
        </w:rPr>
      </w:pPr>
      <w:r w:rsidRPr="00DD6AE7">
        <w:rPr>
          <w:rFonts w:ascii="Times New Roman" w:hAnsi="Times New Roman" w:cs="Times New Roman"/>
          <w:sz w:val="24"/>
          <w:szCs w:val="24"/>
        </w:rPr>
        <w:t>Course Code: Course Name</w:t>
      </w:r>
    </w:p>
    <w:p w14:paraId="72053992" w14:textId="77777777" w:rsidR="00DD6AE7" w:rsidRPr="00DD6AE7" w:rsidRDefault="007147FE" w:rsidP="00DD6AE7">
      <w:pPr>
        <w:spacing w:after="0" w:line="480" w:lineRule="auto"/>
        <w:jc w:val="center"/>
        <w:rPr>
          <w:rFonts w:ascii="Times New Roman" w:hAnsi="Times New Roman" w:cs="Times New Roman"/>
          <w:sz w:val="24"/>
          <w:szCs w:val="24"/>
        </w:rPr>
      </w:pPr>
      <w:r w:rsidRPr="00DD6AE7">
        <w:rPr>
          <w:rFonts w:ascii="Times New Roman" w:hAnsi="Times New Roman" w:cs="Times New Roman"/>
          <w:sz w:val="24"/>
          <w:szCs w:val="24"/>
        </w:rPr>
        <w:t>Instructor</w:t>
      </w:r>
    </w:p>
    <w:p w14:paraId="4D7E82E9" w14:textId="77777777" w:rsidR="00DD6AE7" w:rsidRPr="00DD6AE7" w:rsidRDefault="007147FE" w:rsidP="00DD6AE7">
      <w:pPr>
        <w:spacing w:line="480" w:lineRule="auto"/>
        <w:jc w:val="center"/>
        <w:rPr>
          <w:rFonts w:ascii="Times New Roman" w:hAnsi="Times New Roman" w:cs="Times New Roman"/>
          <w:sz w:val="24"/>
          <w:szCs w:val="24"/>
        </w:rPr>
      </w:pPr>
      <w:r w:rsidRPr="00DD6AE7">
        <w:rPr>
          <w:rFonts w:ascii="Times New Roman" w:hAnsi="Times New Roman" w:cs="Times New Roman"/>
          <w:sz w:val="24"/>
          <w:szCs w:val="24"/>
        </w:rPr>
        <w:t>Due Date</w:t>
      </w:r>
    </w:p>
    <w:p w14:paraId="7431F410" w14:textId="77777777" w:rsidR="00DD6AE7" w:rsidRPr="00DD6AE7" w:rsidRDefault="00DD6AE7" w:rsidP="00DD6AE7">
      <w:pPr>
        <w:spacing w:line="480" w:lineRule="auto"/>
        <w:jc w:val="center"/>
        <w:rPr>
          <w:rFonts w:ascii="Times New Roman" w:hAnsi="Times New Roman" w:cs="Times New Roman"/>
          <w:b/>
          <w:bCs/>
          <w:sz w:val="24"/>
          <w:szCs w:val="24"/>
        </w:rPr>
      </w:pPr>
    </w:p>
    <w:p w14:paraId="60E4072D" w14:textId="77777777" w:rsidR="00DD6AE7" w:rsidRPr="00DD6AE7" w:rsidRDefault="00DD6AE7" w:rsidP="00DD6AE7">
      <w:pPr>
        <w:spacing w:line="480" w:lineRule="auto"/>
        <w:jc w:val="center"/>
        <w:rPr>
          <w:rFonts w:ascii="Times New Roman" w:hAnsi="Times New Roman" w:cs="Times New Roman"/>
          <w:b/>
          <w:bCs/>
          <w:sz w:val="24"/>
          <w:szCs w:val="24"/>
        </w:rPr>
      </w:pPr>
    </w:p>
    <w:p w14:paraId="0149BF58" w14:textId="77777777" w:rsidR="00DD6AE7" w:rsidRPr="00DD6AE7" w:rsidRDefault="00DD6AE7" w:rsidP="00DD6AE7">
      <w:pPr>
        <w:spacing w:line="480" w:lineRule="auto"/>
        <w:rPr>
          <w:rFonts w:ascii="Times New Roman" w:hAnsi="Times New Roman" w:cs="Times New Roman"/>
          <w:b/>
          <w:bCs/>
          <w:sz w:val="24"/>
          <w:szCs w:val="24"/>
        </w:rPr>
      </w:pPr>
    </w:p>
    <w:p w14:paraId="3FB44583" w14:textId="77777777" w:rsidR="00DD6AE7" w:rsidRPr="00DD6AE7" w:rsidRDefault="00DD6AE7" w:rsidP="00DD6AE7">
      <w:pPr>
        <w:spacing w:line="480" w:lineRule="auto"/>
        <w:rPr>
          <w:rFonts w:ascii="Times New Roman" w:hAnsi="Times New Roman" w:cs="Times New Roman"/>
          <w:b/>
          <w:bCs/>
          <w:sz w:val="24"/>
          <w:szCs w:val="24"/>
        </w:rPr>
      </w:pPr>
    </w:p>
    <w:p w14:paraId="5E40F041" w14:textId="77777777" w:rsidR="00DD6AE7" w:rsidRPr="00DD6AE7" w:rsidRDefault="00DD6AE7" w:rsidP="00DD6AE7">
      <w:pPr>
        <w:spacing w:line="480" w:lineRule="auto"/>
        <w:rPr>
          <w:rFonts w:ascii="Times New Roman" w:hAnsi="Times New Roman" w:cs="Times New Roman"/>
          <w:b/>
          <w:bCs/>
          <w:sz w:val="24"/>
          <w:szCs w:val="24"/>
        </w:rPr>
      </w:pPr>
    </w:p>
    <w:p w14:paraId="51031DA1" w14:textId="77777777" w:rsidR="00DD6AE7" w:rsidRPr="00DD6AE7" w:rsidRDefault="00DD6AE7" w:rsidP="00DD6AE7">
      <w:pPr>
        <w:spacing w:line="480" w:lineRule="auto"/>
        <w:rPr>
          <w:rFonts w:ascii="Times New Roman" w:hAnsi="Times New Roman" w:cs="Times New Roman"/>
          <w:b/>
          <w:bCs/>
          <w:sz w:val="24"/>
          <w:szCs w:val="24"/>
        </w:rPr>
      </w:pPr>
    </w:p>
    <w:p w14:paraId="03505339" w14:textId="77777777" w:rsidR="00DD6AE7" w:rsidRPr="00DD6AE7" w:rsidRDefault="00DD6AE7" w:rsidP="00DD6AE7">
      <w:pPr>
        <w:spacing w:line="480" w:lineRule="auto"/>
        <w:rPr>
          <w:rFonts w:ascii="Times New Roman" w:hAnsi="Times New Roman" w:cs="Times New Roman"/>
          <w:b/>
          <w:bCs/>
          <w:sz w:val="24"/>
          <w:szCs w:val="24"/>
        </w:rPr>
      </w:pPr>
    </w:p>
    <w:p w14:paraId="6A49B0EC" w14:textId="77777777" w:rsidR="00DD6AE7" w:rsidRPr="00DD6AE7" w:rsidRDefault="00DD6AE7" w:rsidP="00DD6AE7">
      <w:pPr>
        <w:spacing w:line="480" w:lineRule="auto"/>
        <w:rPr>
          <w:rFonts w:ascii="Times New Roman" w:hAnsi="Times New Roman" w:cs="Times New Roman"/>
          <w:b/>
          <w:bCs/>
          <w:sz w:val="24"/>
          <w:szCs w:val="24"/>
        </w:rPr>
      </w:pPr>
    </w:p>
    <w:p w14:paraId="533F2EA9" w14:textId="77777777" w:rsidR="00DD6AE7" w:rsidRPr="00DD6AE7" w:rsidRDefault="00DD6AE7" w:rsidP="00DD6AE7">
      <w:pPr>
        <w:spacing w:line="480" w:lineRule="auto"/>
        <w:rPr>
          <w:rFonts w:ascii="Times New Roman" w:hAnsi="Times New Roman" w:cs="Times New Roman"/>
          <w:b/>
          <w:bCs/>
          <w:sz w:val="24"/>
          <w:szCs w:val="24"/>
        </w:rPr>
      </w:pPr>
    </w:p>
    <w:p w14:paraId="79C83D36" w14:textId="77777777" w:rsidR="00DD6AE7" w:rsidRPr="00DD6AE7" w:rsidRDefault="00DD6AE7" w:rsidP="00DD6AE7">
      <w:pPr>
        <w:spacing w:line="480" w:lineRule="auto"/>
        <w:rPr>
          <w:rFonts w:ascii="Times New Roman" w:hAnsi="Times New Roman" w:cs="Times New Roman"/>
          <w:b/>
          <w:bCs/>
          <w:sz w:val="24"/>
          <w:szCs w:val="24"/>
        </w:rPr>
      </w:pPr>
    </w:p>
    <w:p w14:paraId="3D0EAF57" w14:textId="77777777" w:rsidR="00DD6AE7" w:rsidRPr="00DD6AE7" w:rsidRDefault="00DD6AE7" w:rsidP="00DD6AE7">
      <w:pPr>
        <w:spacing w:line="480" w:lineRule="auto"/>
        <w:rPr>
          <w:rFonts w:ascii="Times New Roman" w:hAnsi="Times New Roman" w:cs="Times New Roman"/>
          <w:b/>
          <w:bCs/>
          <w:sz w:val="24"/>
          <w:szCs w:val="24"/>
        </w:rPr>
      </w:pPr>
    </w:p>
    <w:p w14:paraId="76844B73" w14:textId="0970FBA4" w:rsidR="000C1297" w:rsidRPr="00DD6AE7" w:rsidRDefault="007147FE" w:rsidP="00DD6AE7">
      <w:pPr>
        <w:spacing w:line="480" w:lineRule="auto"/>
        <w:rPr>
          <w:rFonts w:ascii="Times New Roman" w:hAnsi="Times New Roman" w:cs="Times New Roman"/>
          <w:b/>
          <w:bCs/>
          <w:sz w:val="24"/>
          <w:szCs w:val="24"/>
        </w:rPr>
      </w:pPr>
      <w:r w:rsidRPr="00DD6AE7">
        <w:rPr>
          <w:rFonts w:ascii="Times New Roman" w:hAnsi="Times New Roman" w:cs="Times New Roman"/>
          <w:b/>
          <w:bCs/>
          <w:sz w:val="24"/>
          <w:szCs w:val="24"/>
        </w:rPr>
        <w:t xml:space="preserve">Limitation of the research article (Effect of sub-chronic exposure to cigarette smoke, electronic cigarette and waterpipe on human lung </w:t>
      </w:r>
      <w:r w:rsidRPr="00DD6AE7">
        <w:rPr>
          <w:rFonts w:ascii="Times New Roman" w:hAnsi="Times New Roman" w:cs="Times New Roman"/>
          <w:b/>
          <w:bCs/>
          <w:sz w:val="24"/>
          <w:szCs w:val="24"/>
        </w:rPr>
        <w:t>epithelial barrier function)</w:t>
      </w:r>
    </w:p>
    <w:p w14:paraId="5571BC5C" w14:textId="2460598E" w:rsidR="00C01553" w:rsidRPr="00DD6AE7" w:rsidRDefault="007147FE" w:rsidP="00DD6AE7">
      <w:pPr>
        <w:spacing w:line="480" w:lineRule="auto"/>
        <w:ind w:firstLine="720"/>
        <w:rPr>
          <w:rFonts w:ascii="Times New Roman" w:hAnsi="Times New Roman" w:cs="Times New Roman"/>
          <w:sz w:val="24"/>
          <w:szCs w:val="24"/>
        </w:rPr>
      </w:pPr>
      <w:r w:rsidRPr="00DD6AE7">
        <w:rPr>
          <w:rFonts w:ascii="Times New Roman" w:hAnsi="Times New Roman" w:cs="Times New Roman"/>
          <w:sz w:val="24"/>
          <w:szCs w:val="24"/>
        </w:rPr>
        <w:t xml:space="preserve">Cigarettes and waterpipes have become </w:t>
      </w:r>
      <w:r w:rsidR="009C6C4C" w:rsidRPr="00DD6AE7">
        <w:rPr>
          <w:rFonts w:ascii="Times New Roman" w:hAnsi="Times New Roman" w:cs="Times New Roman"/>
          <w:sz w:val="24"/>
          <w:szCs w:val="24"/>
        </w:rPr>
        <w:t>an</w:t>
      </w:r>
      <w:r w:rsidRPr="00DD6AE7">
        <w:rPr>
          <w:rFonts w:ascii="Times New Roman" w:hAnsi="Times New Roman" w:cs="Times New Roman"/>
          <w:sz w:val="24"/>
          <w:szCs w:val="24"/>
        </w:rPr>
        <w:t xml:space="preserve"> issue on human lung epithelia. Therefore, the study focuses on the effects of sub-chronic electronic cigarette</w:t>
      </w:r>
      <w:r w:rsidR="009C6C4C" w:rsidRPr="00DD6AE7">
        <w:rPr>
          <w:rFonts w:ascii="Times New Roman" w:hAnsi="Times New Roman" w:cs="Times New Roman"/>
          <w:sz w:val="24"/>
          <w:szCs w:val="24"/>
        </w:rPr>
        <w:t xml:space="preserve"> aerosol exposure on human bronchial epithelial function in an in vitro air-liquid interface model compared to Cigarette smoking and tobacco waterpipe exposures in similar conditions.</w:t>
      </w:r>
    </w:p>
    <w:p w14:paraId="1F587155" w14:textId="0A82E897" w:rsidR="007D7264" w:rsidRDefault="007147FE" w:rsidP="00DD6AE7">
      <w:pPr>
        <w:spacing w:line="480" w:lineRule="auto"/>
        <w:ind w:firstLine="720"/>
        <w:rPr>
          <w:rFonts w:ascii="Times New Roman" w:hAnsi="Times New Roman" w:cs="Times New Roman"/>
          <w:sz w:val="24"/>
          <w:szCs w:val="24"/>
        </w:rPr>
      </w:pPr>
      <w:r w:rsidRPr="00DD6AE7">
        <w:rPr>
          <w:rFonts w:ascii="Times New Roman" w:hAnsi="Times New Roman" w:cs="Times New Roman"/>
          <w:sz w:val="24"/>
          <w:szCs w:val="24"/>
        </w:rPr>
        <w:t>The research used a limited sample. It used</w:t>
      </w:r>
      <w:r w:rsidR="00022BA7" w:rsidRPr="00DD6AE7">
        <w:rPr>
          <w:rFonts w:ascii="Times New Roman" w:hAnsi="Times New Roman" w:cs="Times New Roman"/>
          <w:sz w:val="24"/>
          <w:szCs w:val="24"/>
        </w:rPr>
        <w:t xml:space="preserve"> (Human bronchial epithelial cells)</w:t>
      </w:r>
      <w:r w:rsidRPr="00DD6AE7">
        <w:rPr>
          <w:rFonts w:ascii="Times New Roman" w:hAnsi="Times New Roman" w:cs="Times New Roman"/>
          <w:sz w:val="24"/>
          <w:szCs w:val="24"/>
        </w:rPr>
        <w:t xml:space="preserve"> HBECs samples acquired from a commercial entity as primary lung cells</w:t>
      </w:r>
      <w:r w:rsidRPr="00DD6AE7">
        <w:rPr>
          <w:rFonts w:ascii="Times New Roman" w:hAnsi="Times New Roman" w:cs="Times New Roman"/>
          <w:sz w:val="24"/>
          <w:szCs w:val="24"/>
        </w:rPr>
        <w:t xml:space="preserve"> isolated from only two donors </w:t>
      </w:r>
      <w:r w:rsidR="002F23E1" w:rsidRPr="00DD6AE7">
        <w:rPr>
          <w:rFonts w:ascii="Times New Roman" w:hAnsi="Times New Roman" w:cs="Times New Roman"/>
          <w:sz w:val="24"/>
          <w:szCs w:val="24"/>
        </w:rPr>
        <w:t>and uses</w:t>
      </w:r>
      <w:r w:rsidRPr="00DD6AE7">
        <w:rPr>
          <w:rFonts w:ascii="Times New Roman" w:hAnsi="Times New Roman" w:cs="Times New Roman"/>
          <w:sz w:val="24"/>
          <w:szCs w:val="24"/>
        </w:rPr>
        <w:t xml:space="preserve"> 3–5 HBECs models for each </w:t>
      </w:r>
      <w:r w:rsidR="0004543A" w:rsidRPr="00DD6AE7">
        <w:rPr>
          <w:rFonts w:ascii="Times New Roman" w:hAnsi="Times New Roman" w:cs="Times New Roman"/>
          <w:sz w:val="24"/>
          <w:szCs w:val="24"/>
        </w:rPr>
        <w:t>cigarette</w:t>
      </w:r>
      <w:r w:rsidRPr="00DD6AE7">
        <w:rPr>
          <w:rFonts w:ascii="Times New Roman" w:hAnsi="Times New Roman" w:cs="Times New Roman"/>
          <w:sz w:val="24"/>
          <w:szCs w:val="24"/>
        </w:rPr>
        <w:t xml:space="preserve">, </w:t>
      </w:r>
      <w:r w:rsidR="0004543A" w:rsidRPr="00DD6AE7">
        <w:rPr>
          <w:rFonts w:ascii="Times New Roman" w:hAnsi="Times New Roman" w:cs="Times New Roman"/>
          <w:sz w:val="24"/>
          <w:szCs w:val="24"/>
        </w:rPr>
        <w:t>electronic cigarette</w:t>
      </w:r>
      <w:r w:rsidRPr="00DD6AE7">
        <w:rPr>
          <w:rFonts w:ascii="Times New Roman" w:hAnsi="Times New Roman" w:cs="Times New Roman"/>
          <w:sz w:val="24"/>
          <w:szCs w:val="24"/>
        </w:rPr>
        <w:t>, or air only (control group) exposures</w:t>
      </w:r>
      <w:r w:rsidR="0004543A" w:rsidRPr="00DD6AE7">
        <w:rPr>
          <w:rFonts w:ascii="Times New Roman" w:hAnsi="Times New Roman" w:cs="Times New Roman"/>
          <w:sz w:val="24"/>
          <w:szCs w:val="24"/>
        </w:rPr>
        <w:t>.</w:t>
      </w:r>
      <w:r w:rsidR="002F23E1" w:rsidRPr="00DD6AE7">
        <w:rPr>
          <w:rFonts w:ascii="Times New Roman" w:hAnsi="Times New Roman" w:cs="Times New Roman"/>
          <w:sz w:val="24"/>
          <w:szCs w:val="24"/>
        </w:rPr>
        <w:t xml:space="preserve"> The limited sample sizes </w:t>
      </w:r>
      <w:r w:rsidR="00022BA7" w:rsidRPr="00DD6AE7">
        <w:rPr>
          <w:rFonts w:ascii="Times New Roman" w:hAnsi="Times New Roman" w:cs="Times New Roman"/>
          <w:sz w:val="24"/>
          <w:szCs w:val="24"/>
        </w:rPr>
        <w:t>prevent</w:t>
      </w:r>
      <w:r w:rsidR="002F23E1" w:rsidRPr="00DD6AE7">
        <w:rPr>
          <w:rFonts w:ascii="Times New Roman" w:hAnsi="Times New Roman" w:cs="Times New Roman"/>
          <w:sz w:val="24"/>
          <w:szCs w:val="24"/>
        </w:rPr>
        <w:t xml:space="preserve"> these research findings from being extrapolated.</w:t>
      </w:r>
    </w:p>
    <w:p w14:paraId="5B21907E" w14:textId="4C813E13" w:rsidR="007147FE" w:rsidRPr="007147FE" w:rsidRDefault="007147FE" w:rsidP="007147FE">
      <w:pPr>
        <w:spacing w:line="480" w:lineRule="auto"/>
        <w:ind w:firstLine="720"/>
        <w:rPr>
          <w:rFonts w:ascii="Times New Roman" w:hAnsi="Times New Roman" w:cs="Times New Roman"/>
          <w:sz w:val="24"/>
          <w:szCs w:val="24"/>
        </w:rPr>
      </w:pPr>
      <w:r w:rsidRPr="007147FE">
        <w:rPr>
          <w:rFonts w:ascii="Times New Roman" w:hAnsi="Times New Roman" w:cs="Times New Roman"/>
          <w:sz w:val="24"/>
          <w:szCs w:val="24"/>
        </w:rPr>
        <w:t>Human bronchial epithelial cells (HBECs) in an air-liquid interface were exposed to a reference CS, and a commercial EC with either 0 or 1.2% nicotine, compared to a clean air control using a normal puffing regime</w:t>
      </w:r>
      <w:r w:rsidRPr="007147FE">
        <w:rPr>
          <w:rFonts w:ascii="Times New Roman" w:hAnsi="Times New Roman" w:cs="Times New Roman"/>
          <w:sz w:val="24"/>
          <w:szCs w:val="24"/>
        </w:rPr>
        <w:t xml:space="preserve">.  When calculating and analyzing data, the research failed to acknowledge the error that might have existed in the process. </w:t>
      </w:r>
    </w:p>
    <w:p w14:paraId="0C32F1CF" w14:textId="0E30BD88" w:rsidR="00DD6AE7" w:rsidRDefault="007147FE" w:rsidP="007147FE">
      <w:pPr>
        <w:spacing w:line="480" w:lineRule="auto"/>
        <w:ind w:firstLine="720"/>
        <w:rPr>
          <w:rFonts w:ascii="Times New Roman" w:hAnsi="Times New Roman" w:cs="Times New Roman"/>
          <w:sz w:val="24"/>
          <w:szCs w:val="24"/>
        </w:rPr>
      </w:pPr>
      <w:r w:rsidRPr="00DD6AE7">
        <w:rPr>
          <w:rFonts w:ascii="Times New Roman" w:hAnsi="Times New Roman" w:cs="Times New Roman"/>
          <w:sz w:val="24"/>
          <w:szCs w:val="24"/>
        </w:rPr>
        <w:t xml:space="preserve">The research has failed to address the toxicological significance of </w:t>
      </w:r>
      <w:r w:rsidR="00022BA7" w:rsidRPr="00DD6AE7">
        <w:rPr>
          <w:rFonts w:ascii="Times New Roman" w:hAnsi="Times New Roman" w:cs="Times New Roman"/>
          <w:sz w:val="24"/>
          <w:szCs w:val="24"/>
        </w:rPr>
        <w:t>prolonged exposure and nicotine concentration. Differentiated HBECs were exposed to 10 puffs of EC aerosols, CS, or air control each day for ten days. To observe and obtain data with limited error, the research should have increased the number of puffs and days.</w:t>
      </w:r>
      <w:r w:rsidR="006453ED" w:rsidRPr="00DD6AE7">
        <w:rPr>
          <w:rFonts w:ascii="Times New Roman" w:hAnsi="Times New Roman" w:cs="Times New Roman"/>
          <w:sz w:val="24"/>
          <w:szCs w:val="24"/>
        </w:rPr>
        <w:t xml:space="preserve"> Therefore, it should address the molecular mechanism of the observation, tobacco water pipe, and electronic cigarette toxicity in chronical exposure.</w:t>
      </w:r>
    </w:p>
    <w:p w14:paraId="7EE3C2F9" w14:textId="77777777" w:rsidR="007147FE" w:rsidRPr="00DD6AE7" w:rsidRDefault="007147FE" w:rsidP="007147FE">
      <w:pPr>
        <w:spacing w:line="480" w:lineRule="auto"/>
        <w:ind w:firstLine="720"/>
        <w:rPr>
          <w:rFonts w:ascii="Times New Roman" w:hAnsi="Times New Roman" w:cs="Times New Roman"/>
          <w:sz w:val="24"/>
          <w:szCs w:val="24"/>
        </w:rPr>
      </w:pPr>
    </w:p>
    <w:p w14:paraId="3E554331" w14:textId="4AF4AF5B" w:rsidR="00C01553" w:rsidRPr="00DD6AE7" w:rsidRDefault="007147FE" w:rsidP="00DD6AE7">
      <w:pPr>
        <w:tabs>
          <w:tab w:val="left" w:pos="6210"/>
        </w:tabs>
        <w:spacing w:line="480" w:lineRule="auto"/>
        <w:jc w:val="center"/>
        <w:rPr>
          <w:rFonts w:ascii="Times New Roman" w:hAnsi="Times New Roman" w:cs="Times New Roman"/>
          <w:b/>
          <w:bCs/>
          <w:sz w:val="24"/>
          <w:szCs w:val="24"/>
        </w:rPr>
      </w:pPr>
      <w:r w:rsidRPr="00DD6AE7">
        <w:rPr>
          <w:rFonts w:ascii="Times New Roman" w:hAnsi="Times New Roman" w:cs="Times New Roman"/>
          <w:b/>
          <w:bCs/>
          <w:sz w:val="24"/>
          <w:szCs w:val="24"/>
        </w:rPr>
        <w:lastRenderedPageBreak/>
        <w:t>Reference</w:t>
      </w:r>
    </w:p>
    <w:p w14:paraId="5BCFD9E3" w14:textId="227E92D4" w:rsidR="00C01553" w:rsidRPr="00DD6AE7" w:rsidRDefault="007147FE" w:rsidP="00DD6AE7">
      <w:pPr>
        <w:tabs>
          <w:tab w:val="left" w:pos="6210"/>
        </w:tabs>
        <w:spacing w:line="480" w:lineRule="auto"/>
        <w:rPr>
          <w:rFonts w:ascii="Times New Roman" w:hAnsi="Times New Roman" w:cs="Times New Roman"/>
          <w:b/>
          <w:bCs/>
          <w:sz w:val="24"/>
          <w:szCs w:val="24"/>
        </w:rPr>
      </w:pPr>
      <w:r w:rsidRPr="00DD6AE7">
        <w:rPr>
          <w:rFonts w:ascii="Times New Roman" w:hAnsi="Times New Roman" w:cs="Times New Roman"/>
          <w:sz w:val="24"/>
          <w:szCs w:val="24"/>
          <w:shd w:val="clear" w:color="auto" w:fill="FFFFFF"/>
        </w:rPr>
        <w:t>Ghosh, B., Reyes-Caballero, H., Akgün-Ölmez, S.G. </w:t>
      </w:r>
      <w:r w:rsidRPr="00DD6AE7">
        <w:rPr>
          <w:rFonts w:ascii="Times New Roman" w:hAnsi="Times New Roman" w:cs="Times New Roman"/>
          <w:i/>
          <w:iCs/>
          <w:sz w:val="24"/>
          <w:szCs w:val="24"/>
          <w:shd w:val="clear" w:color="auto" w:fill="FFFFFF"/>
        </w:rPr>
        <w:t>et al.</w:t>
      </w:r>
      <w:r w:rsidRPr="00DD6AE7">
        <w:rPr>
          <w:rFonts w:ascii="Times New Roman" w:hAnsi="Times New Roman" w:cs="Times New Roman"/>
          <w:sz w:val="24"/>
          <w:szCs w:val="24"/>
          <w:shd w:val="clear" w:color="auto" w:fill="FFFFFF"/>
        </w:rPr>
        <w:t> Effect of sub-chronic exposure to cigarette smoke, electronic cigarette and waterpipe on human lung epithelial barrier function. </w:t>
      </w:r>
      <w:r w:rsidRPr="00DD6AE7">
        <w:rPr>
          <w:rFonts w:ascii="Times New Roman" w:hAnsi="Times New Roman" w:cs="Times New Roman"/>
          <w:i/>
          <w:iCs/>
          <w:sz w:val="24"/>
          <w:szCs w:val="24"/>
          <w:shd w:val="clear" w:color="auto" w:fill="FFFFFF"/>
        </w:rPr>
        <w:t>BMC Pulm Med</w:t>
      </w:r>
      <w:r w:rsidRPr="00DD6AE7">
        <w:rPr>
          <w:rFonts w:ascii="Times New Roman" w:hAnsi="Times New Roman" w:cs="Times New Roman"/>
          <w:sz w:val="24"/>
          <w:szCs w:val="24"/>
          <w:shd w:val="clear" w:color="auto" w:fill="FFFFFF"/>
        </w:rPr>
        <w:t> </w:t>
      </w:r>
      <w:r w:rsidRPr="00DD6AE7">
        <w:rPr>
          <w:rFonts w:ascii="Times New Roman" w:hAnsi="Times New Roman" w:cs="Times New Roman"/>
          <w:b/>
          <w:bCs/>
          <w:sz w:val="24"/>
          <w:szCs w:val="24"/>
          <w:shd w:val="clear" w:color="auto" w:fill="FFFFFF"/>
        </w:rPr>
        <w:t>20, </w:t>
      </w:r>
      <w:r w:rsidRPr="00DD6AE7">
        <w:rPr>
          <w:rFonts w:ascii="Times New Roman" w:hAnsi="Times New Roman" w:cs="Times New Roman"/>
          <w:sz w:val="24"/>
          <w:szCs w:val="24"/>
          <w:shd w:val="clear" w:color="auto" w:fill="FFFFFF"/>
        </w:rPr>
        <w:t xml:space="preserve">216 (2020). </w:t>
      </w:r>
      <w:r w:rsidRPr="00DD6AE7">
        <w:rPr>
          <w:rFonts w:ascii="Times New Roman" w:hAnsi="Times New Roman" w:cs="Times New Roman"/>
          <w:sz w:val="24"/>
          <w:szCs w:val="24"/>
          <w:shd w:val="clear" w:color="auto" w:fill="FFFFFF"/>
        </w:rPr>
        <w:t>https://doi.org/10.1186/s12890-020-01255-y</w:t>
      </w:r>
    </w:p>
    <w:sectPr w:rsidR="00C01553" w:rsidRPr="00DD6A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297"/>
    <w:rsid w:val="00022BA7"/>
    <w:rsid w:val="0004543A"/>
    <w:rsid w:val="000C1297"/>
    <w:rsid w:val="002F23E1"/>
    <w:rsid w:val="006453ED"/>
    <w:rsid w:val="007147FE"/>
    <w:rsid w:val="007D7264"/>
    <w:rsid w:val="009C6C4C"/>
    <w:rsid w:val="00C01553"/>
    <w:rsid w:val="00DD6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72FAF"/>
  <w15:chartTrackingRefBased/>
  <w15:docId w15:val="{5AD52BAA-D1E6-447D-8EE3-FEA22F8BE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3</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 Owiyo</dc:creator>
  <cp:lastModifiedBy>javans Owiyo</cp:lastModifiedBy>
  <cp:revision>2</cp:revision>
  <dcterms:created xsi:type="dcterms:W3CDTF">2021-10-15T04:20:00Z</dcterms:created>
  <dcterms:modified xsi:type="dcterms:W3CDTF">2021-10-15T07:03:00Z</dcterms:modified>
</cp:coreProperties>
</file>